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F4" w:rsidRPr="00B61B0D" w:rsidRDefault="00A81FF4" w:rsidP="00A81FF4">
      <w:pPr>
        <w:tabs>
          <w:tab w:val="left" w:pos="1134"/>
          <w:tab w:val="left" w:pos="3402"/>
          <w:tab w:val="left" w:pos="6237"/>
          <w:tab w:val="left" w:pos="6669"/>
        </w:tabs>
        <w:spacing w:after="0" w:line="360" w:lineRule="auto"/>
        <w:jc w:val="both"/>
        <w:rPr>
          <w:rFonts w:ascii="Arial" w:eastAsia="Times New Roman" w:hAnsi="Arial" w:cs="Times New Roman"/>
          <w:b/>
          <w:bCs/>
          <w:sz w:val="28"/>
          <w:szCs w:val="28"/>
          <w:lang w:eastAsia="es-ES"/>
        </w:rPr>
      </w:pPr>
      <w:bookmarkStart w:id="0" w:name="_GoBack"/>
      <w:bookmarkEnd w:id="0"/>
      <w:r w:rsidRPr="00B61B0D">
        <w:rPr>
          <w:rFonts w:ascii="Arial" w:eastAsia="Times New Roman" w:hAnsi="Arial" w:cs="Times New Roman"/>
          <w:b/>
          <w:bCs/>
          <w:sz w:val="28"/>
          <w:szCs w:val="28"/>
          <w:lang w:eastAsia="es-ES"/>
        </w:rPr>
        <w:t>¿Por qué un cursillo de ingreso?</w:t>
      </w:r>
    </w:p>
    <w:p w:rsidR="00A81FF4" w:rsidRPr="00B61B0D" w:rsidRDefault="00A81FF4" w:rsidP="00A81FF4">
      <w:pPr>
        <w:tabs>
          <w:tab w:val="left" w:pos="1134"/>
          <w:tab w:val="left" w:pos="3402"/>
          <w:tab w:val="left" w:pos="6237"/>
          <w:tab w:val="left" w:pos="6669"/>
        </w:tabs>
        <w:spacing w:after="0" w:line="360" w:lineRule="auto"/>
        <w:jc w:val="both"/>
        <w:rPr>
          <w:rFonts w:ascii="Arial" w:eastAsia="Times New Roman" w:hAnsi="Arial" w:cs="Times New Roman"/>
          <w:b/>
          <w:bCs/>
          <w:sz w:val="28"/>
          <w:szCs w:val="28"/>
          <w:lang w:eastAsia="es-ES"/>
        </w:rPr>
      </w:pPr>
    </w:p>
    <w:p w:rsidR="00A81FF4" w:rsidRPr="00B61B0D" w:rsidRDefault="00A81FF4" w:rsidP="00A81FF4">
      <w:pPr>
        <w:tabs>
          <w:tab w:val="left" w:pos="1134"/>
          <w:tab w:val="left" w:pos="3402"/>
          <w:tab w:val="left" w:pos="6237"/>
          <w:tab w:val="left" w:pos="6669"/>
        </w:tabs>
        <w:spacing w:after="0" w:line="360" w:lineRule="auto"/>
        <w:ind w:firstLine="1134"/>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El cursillo de ingreso ha sido elaborado como un proceso de iniciación e integración al Nivel de Educación Superior, tanto desde el punto de vista académico como de la formación personal, con el objetivo de acompañar al estudiante en la construcción y fortalecimiento de su elección vocacional y posibilitar la apropiación de saberes significativos para su desarrollo profesional y personal.</w:t>
      </w:r>
    </w:p>
    <w:p w:rsidR="00A81FF4" w:rsidRPr="00B61B0D" w:rsidRDefault="00A81FF4" w:rsidP="00A81FF4">
      <w:pPr>
        <w:tabs>
          <w:tab w:val="left" w:pos="1134"/>
          <w:tab w:val="left" w:pos="3402"/>
          <w:tab w:val="left" w:pos="6237"/>
          <w:tab w:val="left" w:pos="6669"/>
        </w:tabs>
        <w:spacing w:after="0" w:line="360" w:lineRule="auto"/>
        <w:ind w:firstLine="1134"/>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El ingreso a primer año, está determinado por un límite en la cantidad de estudiantes a ingresar, lo que genera un debate ideológico, político y social que es imposible desconocer.</w:t>
      </w:r>
    </w:p>
    <w:p w:rsidR="00A81FF4" w:rsidRPr="00B61B0D" w:rsidRDefault="00A81FF4" w:rsidP="00A81FF4">
      <w:pPr>
        <w:tabs>
          <w:tab w:val="left" w:pos="1134"/>
          <w:tab w:val="left" w:pos="3402"/>
          <w:tab w:val="left" w:pos="6237"/>
          <w:tab w:val="left" w:pos="6669"/>
        </w:tabs>
        <w:spacing w:after="0" w:line="360" w:lineRule="auto"/>
        <w:ind w:firstLine="1134"/>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Es necesario en la formación pedagógica, un equilibrio en la relación entre el número de estudiantes por curso, docentes, infraestructura y recursos materiales, posibilitando que los procesos de enseñanza y aprendizaje se desarrollen en condiciones adecuadas.</w:t>
      </w:r>
    </w:p>
    <w:p w:rsidR="00A81FF4" w:rsidRPr="00B61B0D" w:rsidRDefault="00A81FF4" w:rsidP="00A81FF4">
      <w:pPr>
        <w:tabs>
          <w:tab w:val="left" w:pos="1134"/>
          <w:tab w:val="left" w:pos="3402"/>
          <w:tab w:val="left" w:pos="6237"/>
          <w:tab w:val="left" w:pos="6669"/>
        </w:tabs>
        <w:spacing w:after="0" w:line="360" w:lineRule="auto"/>
        <w:ind w:firstLine="1134"/>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Si bien las pruebas motoras y cognitiva adquieren una relevancia particular, se propone no reducir la finalidad del cursillo en un sentido utilitario e instrumental, como preparación para las pruebas, sino abordarlo desde un enfoque más amplio. Esto implica comprenderlo como una instancia de formación intelectual, corporal y afectivo – social, de tal forma que trascienda la propia circunstancia del cursillo y sea reconocida como una experiencia significativa en su formación personal. Es así que el cursillo, tiene como finalidad, acercar a los aspirantes a un educación integral que desarrollo todas las dimensiones de la persona y una formación corporal, motriz y deportiva que favorezca el desarrollo armónico y la inserción democrática de los estudiantes en la vida institucional.</w:t>
      </w:r>
    </w:p>
    <w:p w:rsidR="00A81FF4" w:rsidRPr="00B61B0D" w:rsidRDefault="00A81FF4" w:rsidP="00A81FF4">
      <w:pPr>
        <w:tabs>
          <w:tab w:val="left" w:pos="1134"/>
          <w:tab w:val="left" w:pos="3402"/>
          <w:tab w:val="left" w:pos="6237"/>
          <w:tab w:val="left" w:pos="6669"/>
        </w:tabs>
        <w:spacing w:after="0" w:line="360" w:lineRule="auto"/>
        <w:jc w:val="both"/>
        <w:rPr>
          <w:rFonts w:ascii="Arial" w:eastAsia="Times New Roman" w:hAnsi="Arial" w:cs="Times New Roman"/>
          <w:bCs/>
          <w:sz w:val="24"/>
          <w:szCs w:val="24"/>
          <w:lang w:eastAsia="es-ES"/>
        </w:rPr>
      </w:pPr>
    </w:p>
    <w:p w:rsidR="00A81FF4" w:rsidRPr="00B61B0D" w:rsidRDefault="00A81FF4" w:rsidP="00A81FF4">
      <w:pPr>
        <w:tabs>
          <w:tab w:val="left" w:pos="1134"/>
          <w:tab w:val="left" w:pos="3402"/>
          <w:tab w:val="left" w:pos="6237"/>
          <w:tab w:val="left" w:pos="6669"/>
        </w:tabs>
        <w:spacing w:after="0" w:line="360" w:lineRule="auto"/>
        <w:jc w:val="both"/>
        <w:rPr>
          <w:rFonts w:ascii="Arial" w:eastAsia="Times New Roman" w:hAnsi="Arial" w:cs="Times New Roman"/>
          <w:b/>
          <w:bCs/>
          <w:sz w:val="28"/>
          <w:szCs w:val="28"/>
          <w:lang w:eastAsia="es-ES"/>
        </w:rPr>
      </w:pPr>
      <w:r w:rsidRPr="00B61B0D">
        <w:rPr>
          <w:rFonts w:ascii="Arial" w:eastAsia="Times New Roman" w:hAnsi="Arial" w:cs="Times New Roman"/>
          <w:b/>
          <w:bCs/>
          <w:sz w:val="28"/>
          <w:szCs w:val="28"/>
          <w:lang w:eastAsia="es-ES"/>
        </w:rPr>
        <w:t>¿Cuáles son los objetivos del cursillo?</w:t>
      </w:r>
    </w:p>
    <w:p w:rsidR="00A81FF4" w:rsidRPr="00B61B0D" w:rsidRDefault="00A81FF4" w:rsidP="00A81FF4">
      <w:pPr>
        <w:tabs>
          <w:tab w:val="left" w:pos="1134"/>
          <w:tab w:val="left" w:pos="3402"/>
          <w:tab w:val="left" w:pos="6237"/>
          <w:tab w:val="left" w:pos="6669"/>
        </w:tabs>
        <w:spacing w:after="0" w:line="360" w:lineRule="auto"/>
        <w:jc w:val="both"/>
        <w:rPr>
          <w:rFonts w:ascii="Arial" w:eastAsia="Times New Roman" w:hAnsi="Arial" w:cs="Times New Roman"/>
          <w:b/>
          <w:bCs/>
          <w:sz w:val="28"/>
          <w:szCs w:val="28"/>
          <w:lang w:eastAsia="es-ES"/>
        </w:rPr>
      </w:pPr>
    </w:p>
    <w:p w:rsidR="00A81FF4" w:rsidRPr="00B61B0D" w:rsidRDefault="00A81FF4" w:rsidP="00A81FF4">
      <w:pPr>
        <w:numPr>
          <w:ilvl w:val="0"/>
          <w:numId w:val="1"/>
        </w:numPr>
        <w:tabs>
          <w:tab w:val="left" w:pos="1134"/>
          <w:tab w:val="left" w:pos="3402"/>
          <w:tab w:val="left" w:pos="6237"/>
          <w:tab w:val="left" w:pos="6669"/>
        </w:tabs>
        <w:spacing w:after="0" w:line="360" w:lineRule="auto"/>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Proveer a los aspirantes de un marco de referencia acerca de la Educción Superior, sus finalidades, demandas y posibilidades.</w:t>
      </w:r>
    </w:p>
    <w:p w:rsidR="00A81FF4" w:rsidRPr="00B61B0D" w:rsidRDefault="00A81FF4" w:rsidP="00A81FF4">
      <w:pPr>
        <w:numPr>
          <w:ilvl w:val="0"/>
          <w:numId w:val="1"/>
        </w:numPr>
        <w:tabs>
          <w:tab w:val="left" w:pos="720"/>
          <w:tab w:val="left" w:pos="3402"/>
          <w:tab w:val="left" w:pos="6237"/>
          <w:tab w:val="left" w:pos="6669"/>
        </w:tabs>
        <w:spacing w:after="0" w:line="360" w:lineRule="auto"/>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Introducir al aspirante al acampo académico y laboral de la Educación Física, proporcionando elementos que les permitan diferenciar y confirmar su decisión vocacional</w:t>
      </w:r>
    </w:p>
    <w:p w:rsidR="00A81FF4" w:rsidRPr="00B61B0D" w:rsidRDefault="00A81FF4" w:rsidP="00A81FF4">
      <w:pPr>
        <w:numPr>
          <w:ilvl w:val="0"/>
          <w:numId w:val="1"/>
        </w:numPr>
        <w:tabs>
          <w:tab w:val="left" w:pos="1134"/>
          <w:tab w:val="left" w:pos="3402"/>
          <w:tab w:val="left" w:pos="6237"/>
          <w:tab w:val="left" w:pos="6669"/>
        </w:tabs>
        <w:spacing w:after="0" w:line="360" w:lineRule="auto"/>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Acercar a los aspirantes a la cultura institucional y al proyecto educativo.</w:t>
      </w:r>
    </w:p>
    <w:p w:rsidR="00A81FF4" w:rsidRPr="00B61B0D" w:rsidRDefault="00A81FF4" w:rsidP="00A81FF4">
      <w:pPr>
        <w:numPr>
          <w:ilvl w:val="0"/>
          <w:numId w:val="1"/>
        </w:numPr>
        <w:tabs>
          <w:tab w:val="left" w:pos="1134"/>
          <w:tab w:val="left" w:pos="3402"/>
          <w:tab w:val="left" w:pos="6237"/>
          <w:tab w:val="left" w:pos="6669"/>
        </w:tabs>
        <w:spacing w:after="0" w:line="360" w:lineRule="auto"/>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t>Brindar al aspirante un espacio para el afianzamiento de sus capacidades corporales que posibiliten el aprendizaje de tareas motrices específicas y de complejidad creciente durante la formación.</w:t>
      </w:r>
    </w:p>
    <w:p w:rsidR="00A81FF4" w:rsidRPr="00B61B0D" w:rsidRDefault="00A81FF4" w:rsidP="00A81FF4">
      <w:pPr>
        <w:numPr>
          <w:ilvl w:val="0"/>
          <w:numId w:val="1"/>
        </w:numPr>
        <w:tabs>
          <w:tab w:val="left" w:pos="1134"/>
          <w:tab w:val="left" w:pos="3402"/>
          <w:tab w:val="left" w:pos="6237"/>
          <w:tab w:val="left" w:pos="6669"/>
        </w:tabs>
        <w:spacing w:after="0" w:line="360" w:lineRule="auto"/>
        <w:jc w:val="both"/>
        <w:rPr>
          <w:rFonts w:ascii="Arial" w:eastAsia="Times New Roman" w:hAnsi="Arial" w:cs="Times New Roman"/>
          <w:bCs/>
          <w:sz w:val="24"/>
          <w:szCs w:val="24"/>
          <w:lang w:eastAsia="es-ES"/>
        </w:rPr>
      </w:pPr>
      <w:r w:rsidRPr="00B61B0D">
        <w:rPr>
          <w:rFonts w:ascii="Arial" w:eastAsia="Times New Roman" w:hAnsi="Arial" w:cs="Times New Roman"/>
          <w:bCs/>
          <w:sz w:val="24"/>
          <w:szCs w:val="24"/>
          <w:lang w:eastAsia="es-ES"/>
        </w:rPr>
        <w:lastRenderedPageBreak/>
        <w:t>Construir una aproximación diagnóstica sobre las realidades, posibilidades, experiencias y saberes de los que son portadores los estudiantes, que permita diseñar estrategias y dispositivos de acompañamiento en el primer año de la carrera.</w:t>
      </w:r>
    </w:p>
    <w:p w:rsidR="00A81FF4" w:rsidRPr="00B61B0D" w:rsidRDefault="00A81FF4" w:rsidP="00A81FF4">
      <w:pPr>
        <w:tabs>
          <w:tab w:val="left" w:pos="6669"/>
        </w:tabs>
        <w:spacing w:after="0" w:line="360" w:lineRule="auto"/>
        <w:jc w:val="both"/>
        <w:rPr>
          <w:rFonts w:ascii="Arial" w:eastAsia="Times New Roman" w:hAnsi="Arial" w:cs="Arial"/>
          <w:b/>
          <w:sz w:val="24"/>
          <w:szCs w:val="24"/>
          <w:lang w:eastAsia="es-ES"/>
        </w:rPr>
      </w:pPr>
    </w:p>
    <w:p w:rsidR="00A81FF4" w:rsidRPr="00B61B0D" w:rsidRDefault="00A81FF4" w:rsidP="00A81FF4">
      <w:pPr>
        <w:tabs>
          <w:tab w:val="left" w:pos="6669"/>
        </w:tabs>
        <w:spacing w:after="0" w:line="360" w:lineRule="auto"/>
        <w:jc w:val="both"/>
        <w:rPr>
          <w:rFonts w:ascii="Arial" w:eastAsia="Times New Roman" w:hAnsi="Arial" w:cs="Arial"/>
          <w:b/>
          <w:sz w:val="24"/>
          <w:szCs w:val="24"/>
          <w:lang w:eastAsia="es-ES"/>
        </w:rPr>
      </w:pPr>
    </w:p>
    <w:p w:rsidR="00A81FF4" w:rsidRPr="00B61B0D" w:rsidRDefault="00A81FF4" w:rsidP="00A81FF4">
      <w:pPr>
        <w:tabs>
          <w:tab w:val="left" w:pos="6669"/>
        </w:tabs>
        <w:spacing w:after="0" w:line="360" w:lineRule="auto"/>
        <w:jc w:val="both"/>
        <w:rPr>
          <w:rFonts w:ascii="Arial" w:eastAsia="Times New Roman" w:hAnsi="Arial" w:cs="Arial"/>
          <w:b/>
          <w:sz w:val="28"/>
          <w:szCs w:val="28"/>
          <w:lang w:eastAsia="es-ES"/>
        </w:rPr>
      </w:pPr>
      <w:r w:rsidRPr="00B61B0D">
        <w:rPr>
          <w:rFonts w:ascii="Arial" w:eastAsia="Times New Roman" w:hAnsi="Arial" w:cs="Arial"/>
          <w:b/>
          <w:sz w:val="28"/>
          <w:szCs w:val="28"/>
          <w:lang w:eastAsia="es-ES"/>
        </w:rPr>
        <w:t>¿Cuáles son las áreas evaluativas que incluye el Cursillo de Ingreso?</w:t>
      </w:r>
    </w:p>
    <w:p w:rsidR="00A81FF4" w:rsidRPr="00B61B0D" w:rsidRDefault="00A81FF4" w:rsidP="00A81FF4">
      <w:pPr>
        <w:tabs>
          <w:tab w:val="left" w:pos="6669"/>
        </w:tabs>
        <w:spacing w:after="0" w:line="360" w:lineRule="auto"/>
        <w:jc w:val="both"/>
        <w:rPr>
          <w:rFonts w:ascii="Arial" w:eastAsia="Times New Roman" w:hAnsi="Arial" w:cs="Arial"/>
          <w:b/>
          <w:sz w:val="24"/>
          <w:szCs w:val="24"/>
          <w:lang w:eastAsia="es-ES"/>
        </w:rPr>
      </w:pPr>
    </w:p>
    <w:p w:rsidR="00A81FF4" w:rsidRPr="00B61B0D" w:rsidRDefault="00A81FF4" w:rsidP="00A81FF4">
      <w:pPr>
        <w:tabs>
          <w:tab w:val="left" w:pos="6669"/>
        </w:tabs>
        <w:spacing w:after="0" w:line="360" w:lineRule="auto"/>
        <w:jc w:val="both"/>
        <w:rPr>
          <w:rFonts w:ascii="Arial" w:eastAsia="Times New Roman" w:hAnsi="Arial" w:cs="Arial"/>
          <w:b/>
          <w:sz w:val="24"/>
          <w:szCs w:val="24"/>
          <w:lang w:eastAsia="es-ES"/>
        </w:rPr>
      </w:pPr>
      <w:r w:rsidRPr="00B61B0D">
        <w:rPr>
          <w:rFonts w:ascii="Arial" w:eastAsia="Times New Roman" w:hAnsi="Arial" w:cs="Arial"/>
          <w:b/>
          <w:sz w:val="24"/>
          <w:szCs w:val="24"/>
          <w:lang w:eastAsia="es-ES"/>
        </w:rPr>
        <w:t xml:space="preserve"> Área de introducción a la Educación Superior</w:t>
      </w:r>
    </w:p>
    <w:p w:rsidR="00A81FF4" w:rsidRPr="00B61B0D" w:rsidRDefault="00A81FF4" w:rsidP="00A81FF4">
      <w:pPr>
        <w:tabs>
          <w:tab w:val="left" w:pos="6669"/>
        </w:tabs>
        <w:spacing w:after="0" w:line="360" w:lineRule="auto"/>
        <w:jc w:val="both"/>
        <w:rPr>
          <w:rFonts w:ascii="Arial" w:eastAsia="Times New Roman" w:hAnsi="Arial" w:cs="Arial"/>
          <w:b/>
          <w:sz w:val="24"/>
          <w:szCs w:val="24"/>
          <w:lang w:eastAsia="es-ES"/>
        </w:rPr>
      </w:pPr>
    </w:p>
    <w:p w:rsidR="00A81FF4" w:rsidRPr="00B61B0D" w:rsidRDefault="00A81FF4" w:rsidP="00A81FF4">
      <w:pPr>
        <w:tabs>
          <w:tab w:val="left" w:pos="840"/>
        </w:tabs>
        <w:spacing w:before="120" w:after="0" w:line="360" w:lineRule="auto"/>
        <w:ind w:right="-5" w:firstLine="72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En el marco de un profesorado de Educción Física se hace necesario y fundamental poseer saberes inherentes y propedéuticos, que hacen al futuro profesor entendido como un profesional con conocimientos intelectuales, motores, sociales y culturales dada la formación integral que se intenta promover desde el sistema educativo (Institutos superiores de Formación Docente). El docente que se intenta formar, será habilidoso respecto de su formación académica, pero sobre todo un “docente habilidoso” tal como señala Gardner, es decir un docente que genera o promueve diferentes formas de llegar a un mismo concepto (teórico – práctico); que posee conocimientos de la cultura general, que es crítico, reflexivo, es decir un intelectual transformador (Giroux). Formar docentes en este marco de una buena enseñanza, tal como plantea Edith Litwin (1996), implica una fuerza moral y epistemológica. Preguntar qué es buena enseñanza en el sentido moral, equivale a preguntar, qué acciones docentes pueden justificarse basándose en principios morales y son capaces de provocar acciones de principio por parte de los estudiantes. Preguntar qué es buena enseñanza en el sentido epistemológico, es preguntar si lo que se enseña es racionalmente justificable y en última instancia, digno de que el estudiante lo conozca, lo crea o lo entienda (Fenstermacher 1989).</w:t>
      </w:r>
    </w:p>
    <w:p w:rsidR="00A81FF4" w:rsidRPr="00B61B0D" w:rsidRDefault="00A81FF4" w:rsidP="00A81FF4">
      <w:pPr>
        <w:spacing w:before="120" w:after="0" w:line="360" w:lineRule="auto"/>
        <w:ind w:right="-125" w:firstLine="96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Por todo ello, es fundamental que los estudiantes, en el marco del cursillo de ingreso, reciban una orientación específica de lo que significa la carrera docente en líneas generales, que es lo que eligieron como carrera, (un profesorado de educción Física) la vocación de enseñar. Por lo cual la formación general, cobra una vital importancia, por lo que deben incluirse conocimientos vinculados a la educación, escolarización y otros aspectos relevantes relacionados con la formación docente, a la formación ética como parte inherente y necesaria en toda carrera humanística</w:t>
      </w:r>
    </w:p>
    <w:p w:rsidR="00A81FF4" w:rsidRPr="00B61B0D" w:rsidRDefault="00A81FF4" w:rsidP="00A81FF4">
      <w:pPr>
        <w:spacing w:before="120" w:after="0" w:line="360" w:lineRule="auto"/>
        <w:ind w:right="-125" w:firstLine="84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 xml:space="preserve">Se brindará información sobre los espacios de participación estudiantil, centro de estudiantes,  proyectos de políticas estudiantiles </w:t>
      </w:r>
    </w:p>
    <w:p w:rsidR="00A81FF4" w:rsidRPr="00B61B0D" w:rsidRDefault="00A81FF4" w:rsidP="00A81FF4">
      <w:pPr>
        <w:tabs>
          <w:tab w:val="left" w:pos="6669"/>
        </w:tabs>
        <w:spacing w:before="120" w:after="0" w:line="360" w:lineRule="auto"/>
        <w:ind w:right="-125" w:firstLine="84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lastRenderedPageBreak/>
        <w:t>La apropiación de estos conocimientos servirá para dar cuenta de ellos en las instancias evaluativas.</w:t>
      </w:r>
    </w:p>
    <w:p w:rsidR="00A81FF4" w:rsidRPr="00B61B0D" w:rsidRDefault="00A81FF4" w:rsidP="00A81FF4">
      <w:pPr>
        <w:tabs>
          <w:tab w:val="left" w:pos="6669"/>
        </w:tabs>
        <w:spacing w:after="0" w:line="360" w:lineRule="auto"/>
        <w:ind w:right="-605"/>
        <w:jc w:val="both"/>
        <w:rPr>
          <w:rFonts w:ascii="Arial" w:eastAsia="Times New Roman" w:hAnsi="Arial" w:cs="Arial"/>
          <w:b/>
          <w:sz w:val="24"/>
          <w:szCs w:val="24"/>
          <w:lang w:eastAsia="es-ES"/>
        </w:rPr>
      </w:pPr>
    </w:p>
    <w:p w:rsidR="00A81FF4" w:rsidRPr="00B61B0D" w:rsidRDefault="00A81FF4" w:rsidP="00A81FF4">
      <w:pPr>
        <w:tabs>
          <w:tab w:val="left" w:pos="6669"/>
        </w:tabs>
        <w:spacing w:after="0" w:line="360" w:lineRule="auto"/>
        <w:ind w:right="-605"/>
        <w:jc w:val="both"/>
        <w:rPr>
          <w:rFonts w:ascii="Arial" w:eastAsia="Times New Roman" w:hAnsi="Arial" w:cs="Arial"/>
          <w:b/>
          <w:sz w:val="24"/>
          <w:szCs w:val="24"/>
          <w:lang w:eastAsia="es-ES"/>
        </w:rPr>
      </w:pPr>
    </w:p>
    <w:p w:rsidR="00A81FF4" w:rsidRPr="00B61B0D" w:rsidRDefault="00A81FF4" w:rsidP="00A81FF4">
      <w:pPr>
        <w:tabs>
          <w:tab w:val="left" w:pos="6669"/>
        </w:tabs>
        <w:spacing w:after="0" w:line="360" w:lineRule="auto"/>
        <w:ind w:right="-605"/>
        <w:jc w:val="both"/>
        <w:rPr>
          <w:rFonts w:ascii="Arial" w:eastAsia="Times New Roman" w:hAnsi="Arial" w:cs="Arial"/>
          <w:b/>
          <w:sz w:val="28"/>
          <w:szCs w:val="28"/>
          <w:lang w:eastAsia="es-ES"/>
        </w:rPr>
      </w:pPr>
      <w:r w:rsidRPr="00B61B0D">
        <w:rPr>
          <w:rFonts w:ascii="Arial" w:eastAsia="Times New Roman" w:hAnsi="Arial" w:cs="Arial"/>
          <w:b/>
          <w:sz w:val="28"/>
          <w:szCs w:val="28"/>
          <w:lang w:eastAsia="es-ES"/>
        </w:rPr>
        <w:t>Área Comprensión y producción de textos</w:t>
      </w:r>
    </w:p>
    <w:p w:rsidR="00A81FF4" w:rsidRPr="00B61B0D" w:rsidRDefault="00A81FF4" w:rsidP="00A81FF4">
      <w:pPr>
        <w:tabs>
          <w:tab w:val="left" w:pos="6669"/>
        </w:tabs>
        <w:spacing w:after="0" w:line="360" w:lineRule="auto"/>
        <w:ind w:right="-60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Se trabajará sobre:</w:t>
      </w:r>
    </w:p>
    <w:p w:rsidR="00A81FF4" w:rsidRPr="00B61B0D" w:rsidRDefault="00A81FF4" w:rsidP="00A81FF4">
      <w:pPr>
        <w:tabs>
          <w:tab w:val="left" w:pos="6669"/>
        </w:tabs>
        <w:spacing w:after="0" w:line="360" w:lineRule="auto"/>
        <w:ind w:right="-245"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El concepto de lectura; el texto sus propiedades, coherencia y cohesión; paratextos, definición y tipos.</w:t>
      </w:r>
    </w:p>
    <w:p w:rsidR="00A81FF4" w:rsidRPr="00B61B0D" w:rsidRDefault="00A81FF4" w:rsidP="00A81FF4">
      <w:pPr>
        <w:tabs>
          <w:tab w:val="left" w:pos="6669"/>
        </w:tabs>
        <w:spacing w:after="0" w:line="360" w:lineRule="auto"/>
        <w:ind w:right="-245"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El texto expositivo, concepto, características, tipos de secuencia: descriptivo, comparativo, causa y consecuencia, problema – solución y seriación; recursos explicativos.</w:t>
      </w:r>
    </w:p>
    <w:p w:rsidR="00A81FF4" w:rsidRPr="00B61B0D" w:rsidRDefault="00A81FF4" w:rsidP="00A81FF4">
      <w:pPr>
        <w:tabs>
          <w:tab w:val="left" w:pos="6669"/>
        </w:tabs>
        <w:spacing w:after="0" w:line="360" w:lineRule="auto"/>
        <w:ind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El texto instructivo, concepto, características. Secuencia instructiva. Interpretación producción de consignas.</w:t>
      </w:r>
    </w:p>
    <w:p w:rsidR="00A81FF4" w:rsidRPr="00B61B0D" w:rsidRDefault="00A81FF4" w:rsidP="00A81FF4">
      <w:pPr>
        <w:tabs>
          <w:tab w:val="left" w:pos="6669"/>
        </w:tabs>
        <w:spacing w:after="0" w:line="360" w:lineRule="auto"/>
        <w:ind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Técnicas de estudio (resumen, sinopsis, redes conceptuales, cuadros comparativos, esquemas).</w:t>
      </w:r>
    </w:p>
    <w:p w:rsidR="00A81FF4" w:rsidRPr="00B61B0D" w:rsidRDefault="00A81FF4" w:rsidP="00A81FF4">
      <w:pPr>
        <w:tabs>
          <w:tab w:val="left" w:pos="6669"/>
        </w:tabs>
        <w:spacing w:after="0" w:line="360" w:lineRule="auto"/>
        <w:ind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 xml:space="preserve">El concepto de escritura. Etapas. </w:t>
      </w:r>
    </w:p>
    <w:p w:rsidR="00A81FF4" w:rsidRPr="00B61B0D" w:rsidRDefault="00A81FF4" w:rsidP="00A81FF4">
      <w:pPr>
        <w:tabs>
          <w:tab w:val="left" w:pos="6669"/>
        </w:tabs>
        <w:spacing w:after="0" w:line="360" w:lineRule="auto"/>
        <w:ind w:firstLine="425"/>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Todos los contenidos que se trabajen estarán atravesados por normas ortográficas y gramaticales. La apropiación de estos conocimientos servirá para dar cuenta de ellos en las instancias evaluativas.</w:t>
      </w:r>
    </w:p>
    <w:p w:rsidR="00A81FF4" w:rsidRPr="00B61B0D" w:rsidRDefault="00A81FF4" w:rsidP="00A81FF4">
      <w:pPr>
        <w:tabs>
          <w:tab w:val="left" w:pos="6669"/>
        </w:tabs>
        <w:spacing w:after="0" w:line="360" w:lineRule="auto"/>
        <w:jc w:val="both"/>
        <w:rPr>
          <w:rFonts w:ascii="Arial" w:eastAsia="Times New Roman" w:hAnsi="Arial" w:cs="Arial"/>
          <w:sz w:val="24"/>
          <w:szCs w:val="24"/>
          <w:lang w:eastAsia="es-ES"/>
        </w:rPr>
      </w:pPr>
    </w:p>
    <w:p w:rsidR="00A81FF4" w:rsidRPr="00B61B0D" w:rsidRDefault="00A81FF4" w:rsidP="00A81FF4">
      <w:pPr>
        <w:tabs>
          <w:tab w:val="left" w:pos="720"/>
          <w:tab w:val="left" w:pos="6669"/>
        </w:tabs>
        <w:spacing w:after="0" w:line="360" w:lineRule="auto"/>
        <w:ind w:left="120" w:right="-125"/>
        <w:jc w:val="both"/>
        <w:rPr>
          <w:rFonts w:ascii="Arial" w:eastAsia="Times New Roman" w:hAnsi="Arial" w:cs="Arial"/>
          <w:b/>
          <w:sz w:val="28"/>
          <w:szCs w:val="28"/>
          <w:lang w:eastAsia="es-ES"/>
        </w:rPr>
      </w:pPr>
      <w:r w:rsidRPr="00B61B0D">
        <w:rPr>
          <w:rFonts w:ascii="Arial" w:eastAsia="Times New Roman" w:hAnsi="Arial" w:cs="Arial"/>
          <w:b/>
          <w:sz w:val="28"/>
          <w:szCs w:val="28"/>
          <w:lang w:eastAsia="es-ES"/>
        </w:rPr>
        <w:t>Área de los Fundamentos Biológicos</w:t>
      </w:r>
    </w:p>
    <w:p w:rsidR="00A81FF4" w:rsidRPr="00B61B0D" w:rsidRDefault="00A81FF4" w:rsidP="00A81FF4">
      <w:pPr>
        <w:tabs>
          <w:tab w:val="left" w:pos="720"/>
          <w:tab w:val="left" w:pos="6669"/>
        </w:tabs>
        <w:spacing w:after="0" w:line="360" w:lineRule="auto"/>
        <w:ind w:left="119" w:right="-125" w:firstLine="72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Considerando que nuestro cuerpo está formado por miles de millones de células que funcionan como una unidad, el organismo biológico, este se manifiesta de manera coordinada y autónoma, en permanente equilibrio dinámico de intercambio con el medio externo y adaptándose a los cambios que acontecen en el entorno. Uno de los aspectos más interesante de la biología humana es el movimiento. Todo está empapado de expresiones motrices. Desde la perspectiva biológica nos permitimos comprender cómo se mueve, cómo utilizan las diferentes partes de su organismo para crear, controlar y ejecutar un acto motor, cómo es la evolución de la motricidad a lo largo de los años.</w:t>
      </w:r>
    </w:p>
    <w:p w:rsidR="00A81FF4" w:rsidRPr="00B61B0D" w:rsidRDefault="00A81FF4" w:rsidP="00A81FF4">
      <w:pPr>
        <w:tabs>
          <w:tab w:val="left" w:pos="720"/>
          <w:tab w:val="left" w:pos="6669"/>
        </w:tabs>
        <w:spacing w:after="0" w:line="360" w:lineRule="auto"/>
        <w:ind w:left="119" w:right="-125" w:firstLine="72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t>En este área, pretendemos lograr un reconocimiento de los sistemas que integran el organismo humano; comprender las estructuras y funciones de cada una de las partes de una célula humana; diferenciar las características de funcionamiento particulares del cuerpo humano; identificar los huesos, músculos y articulaciones que conforman el aparato locomotor humano e identificar, ubicar y reconocer las estructuras y funciones de las distintas partes que conforman los sistemas y aparatos del cuerpo humano.</w:t>
      </w:r>
    </w:p>
    <w:p w:rsidR="00A81FF4" w:rsidRPr="00B61B0D" w:rsidRDefault="00A81FF4" w:rsidP="00A81FF4">
      <w:pPr>
        <w:tabs>
          <w:tab w:val="left" w:pos="720"/>
          <w:tab w:val="left" w:pos="6669"/>
        </w:tabs>
        <w:spacing w:after="0" w:line="360" w:lineRule="auto"/>
        <w:ind w:left="119" w:right="-125" w:firstLine="720"/>
        <w:jc w:val="both"/>
        <w:rPr>
          <w:rFonts w:ascii="Arial" w:eastAsia="Times New Roman" w:hAnsi="Arial" w:cs="Arial"/>
          <w:sz w:val="24"/>
          <w:szCs w:val="24"/>
          <w:lang w:eastAsia="es-ES"/>
        </w:rPr>
      </w:pPr>
      <w:r w:rsidRPr="00B61B0D">
        <w:rPr>
          <w:rFonts w:ascii="Arial" w:eastAsia="Times New Roman" w:hAnsi="Arial" w:cs="Arial"/>
          <w:sz w:val="24"/>
          <w:szCs w:val="24"/>
          <w:lang w:eastAsia="es-ES"/>
        </w:rPr>
        <w:lastRenderedPageBreak/>
        <w:t>La apropiación de estos conocimientos servirá para dar cuenta de ellos en las instancias evaluativas y se anexará material de estudio al CD de ingreso.</w:t>
      </w:r>
    </w:p>
    <w:p w:rsidR="00A81FF4" w:rsidRPr="00B61B0D" w:rsidRDefault="00A81FF4" w:rsidP="00A81FF4">
      <w:pPr>
        <w:tabs>
          <w:tab w:val="left" w:pos="720"/>
          <w:tab w:val="left" w:pos="6669"/>
        </w:tabs>
        <w:spacing w:after="0" w:line="360" w:lineRule="auto"/>
        <w:ind w:left="120" w:right="-125"/>
        <w:jc w:val="both"/>
        <w:rPr>
          <w:rFonts w:ascii="Arial" w:eastAsia="Times New Roman" w:hAnsi="Arial" w:cs="Arial"/>
          <w:b/>
          <w:sz w:val="28"/>
          <w:szCs w:val="28"/>
          <w:lang w:eastAsia="es-ES"/>
        </w:rPr>
      </w:pPr>
    </w:p>
    <w:p w:rsidR="00A81FF4" w:rsidRPr="00B61B0D" w:rsidRDefault="00A81FF4" w:rsidP="00A81FF4">
      <w:pPr>
        <w:tabs>
          <w:tab w:val="left" w:pos="720"/>
          <w:tab w:val="left" w:pos="6669"/>
        </w:tabs>
        <w:spacing w:after="0" w:line="360" w:lineRule="auto"/>
        <w:ind w:left="120" w:right="-125"/>
        <w:jc w:val="both"/>
        <w:rPr>
          <w:rFonts w:ascii="Arial" w:eastAsia="Times New Roman" w:hAnsi="Arial" w:cs="Arial"/>
          <w:b/>
          <w:sz w:val="28"/>
          <w:szCs w:val="28"/>
          <w:lang w:eastAsia="es-ES"/>
        </w:rPr>
      </w:pPr>
      <w:r w:rsidRPr="00B61B0D">
        <w:rPr>
          <w:rFonts w:ascii="Arial" w:eastAsia="Times New Roman" w:hAnsi="Arial" w:cs="Arial"/>
          <w:b/>
          <w:sz w:val="28"/>
          <w:szCs w:val="28"/>
          <w:lang w:eastAsia="es-ES"/>
        </w:rPr>
        <w:t xml:space="preserve">Área de Formación físico y motriz </w:t>
      </w:r>
    </w:p>
    <w:p w:rsidR="004D53A0" w:rsidRDefault="00A81FF4" w:rsidP="00A81FF4">
      <w:r w:rsidRPr="00B61B0D">
        <w:rPr>
          <w:rFonts w:ascii="Arial" w:eastAsia="Times New Roman" w:hAnsi="Arial" w:cs="Arial"/>
          <w:sz w:val="24"/>
          <w:szCs w:val="24"/>
          <w:lang w:eastAsia="es-ES"/>
        </w:rPr>
        <w:t xml:space="preserve">En esta área pretendemos recuperar las experiencias corporales y motrices de los aspirantes, permitiendo construir una aproximación diagnóstica sobre la disponibilidad corporal básica de los mismos, además de afianzar y ampliar la alfabetización motriz de los aspirantes afín de acercarlos a las diferentes trayectorias formativas.                                              </w:t>
      </w:r>
    </w:p>
    <w:sectPr w:rsidR="004D53A0" w:rsidSect="00F301F8">
      <w:pgSz w:w="11906" w:h="16838" w:code="9"/>
      <w:pgMar w:top="1134" w:right="567"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60F9"/>
    <w:multiLevelType w:val="hybridMultilevel"/>
    <w:tmpl w:val="10B8B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F4"/>
    <w:rsid w:val="004D53A0"/>
    <w:rsid w:val="00A81FF4"/>
    <w:rsid w:val="00F30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F4"/>
    <w:rPr>
      <w:noProo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F4"/>
    <w:rPr>
      <w:noProo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3</cp:revision>
  <dcterms:created xsi:type="dcterms:W3CDTF">2020-12-08T14:19:00Z</dcterms:created>
  <dcterms:modified xsi:type="dcterms:W3CDTF">2020-12-08T16:11:00Z</dcterms:modified>
</cp:coreProperties>
</file>